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0" w:rsidRDefault="005A2800" w:rsidP="005A2800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bookmarkStart w:id="0" w:name="_GoBack"/>
      <w:proofErr w:type="spellStart"/>
      <w:r>
        <w:rPr>
          <w:rFonts w:ascii="Times New Roman" w:hAnsi="Times New Roman"/>
          <w:b/>
          <w:i/>
          <w:sz w:val="40"/>
          <w:szCs w:val="40"/>
        </w:rPr>
        <w:t>Використання</w:t>
      </w:r>
      <w:proofErr w:type="spellEnd"/>
      <w:r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інтеративних</w:t>
      </w:r>
      <w:proofErr w:type="spellEnd"/>
      <w:r>
        <w:rPr>
          <w:rFonts w:ascii="Times New Roman" w:hAnsi="Times New Roman"/>
          <w:b/>
          <w:i/>
          <w:sz w:val="40"/>
          <w:szCs w:val="40"/>
          <w:lang w:val="uk-UA"/>
        </w:rPr>
        <w:t xml:space="preserve"> виховних технологій                                                                             у виховній діяльності                                                           </w:t>
      </w:r>
    </w:p>
    <w:bookmarkEnd w:id="0"/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учня 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структурною основою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процесу нашої школи.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заходи, які проводяться у школі, направлені на формування у вихованців життєвої  компетенції, готовності  до праці у ринкових умовах, створенню ситуації успіху у вирішенні будь-яких навчально-виховних завдань, формуванню у вихованців пізнавальної активності, вміння самостійно мислити. 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 </w:t>
      </w:r>
      <w:r>
        <w:rPr>
          <w:rFonts w:ascii="Times New Roman" w:hAnsi="Times New Roman" w:cs="Times New Roman"/>
          <w:sz w:val="28"/>
          <w:szCs w:val="28"/>
          <w:lang w:val="uk-UA"/>
        </w:rPr>
        <w:t>в школі я використовую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інтерактивні 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передбачають  моделювання життєвих ситуацій, спільне вирішення проблеми на основі обліку обставин та відповідної ситуації. Серед них: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технологія виховання духовної культури школяра,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технологія інтегрованого виховання,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розвивального виховання,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технологія виховання успішної особистості,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технологія роботи вчителя-вихователя з однією дитиною,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  супроводу дитини та «Педагогічна підтримка»,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виховання рольовими іграми,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технологія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дітей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інтересами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інноваційній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активно застосовую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сучасні форми і методи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інформаційно-масові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(ток-шоу, інформаційні вітальні, конференції, інтелектуальні ігри, подорожі до джерел рідної культури, історії, держави і права, "жива газета",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діяльнісно-практичні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(творчі групи, екскурсії,   ігри-драматизації, настільні ігри, ярмарки, народні ігри, огляди-конкурси, тренінги ;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(КВК, фестивалі,звіти гуртків);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(рольові ігри, ринги,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міжрольове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спілкування, дискусії, диспути);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ндивідуальні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аочні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стінгазети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планах роботи класних керівників передбачено ці та інші  інноваційні підходи до виховної діяльності учнів згідно з вимогами Програми "Основні орієнтири виховання учнів 1-11 класів у загальноосвітніх навчальних закладах України». 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стирається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учнем-підлеглим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учитель-наставник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-партнер.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«Стань учителем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Сам учитель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серйознішою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уважнішою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інтонацію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жести, стиль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яка моральна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прикладом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800" w:rsidRDefault="005A2800" w:rsidP="005A2800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«Маленький театр»,</w:t>
      </w:r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розігруються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гіперактивних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години-презентації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адекватна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думок тих,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евокаційний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«Знаю – Хочу знати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Дізнався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прийомів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рефлексії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тренінгові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пропаганду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культуру. Головне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інтернаціональних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800" w:rsidRDefault="005A2800" w:rsidP="005A280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пошук та впровадження ефективних засобів виховання в аспекті інноваційної діяльності  скеровує виховний процес на створення системного підходу до організації виховної діяльності та відображає сучасний зміст виховання в Україні.</w:t>
      </w:r>
    </w:p>
    <w:p w:rsidR="005A2800" w:rsidRDefault="005A2800" w:rsidP="005A280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A2800" w:rsidRDefault="005A2800" w:rsidP="005A2800">
      <w:pPr>
        <w:rPr>
          <w:sz w:val="24"/>
          <w:lang w:val="uk-UA"/>
        </w:rPr>
      </w:pPr>
    </w:p>
    <w:p w:rsidR="001D40CD" w:rsidRPr="005A2800" w:rsidRDefault="001D40CD">
      <w:pPr>
        <w:rPr>
          <w:lang w:val="uk-UA"/>
        </w:rPr>
      </w:pPr>
    </w:p>
    <w:sectPr w:rsidR="001D40CD" w:rsidRPr="005A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0"/>
    <w:rsid w:val="001D40CD"/>
    <w:rsid w:val="005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2015-03-18T15:06:00Z</dcterms:created>
  <dcterms:modified xsi:type="dcterms:W3CDTF">2015-03-18T15:11:00Z</dcterms:modified>
</cp:coreProperties>
</file>